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AA" w:rsidRPr="00075FAA" w:rsidRDefault="00075FAA" w:rsidP="00316B86">
      <w:pPr>
        <w:pBdr>
          <w:bottom w:val="single" w:sz="6" w:space="5" w:color="DEDEDE"/>
        </w:pBdr>
        <w:shd w:val="clear" w:color="auto" w:fill="FFFFFF"/>
        <w:spacing w:before="45" w:after="45" w:line="240" w:lineRule="auto"/>
        <w:jc w:val="both"/>
        <w:outlineLvl w:val="0"/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</w:pPr>
      <w:r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 xml:space="preserve">Pivovar </w:t>
      </w:r>
      <w:r w:rsidR="00642FC7"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>Litovel</w:t>
      </w:r>
      <w:r w:rsidR="005700A6"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 xml:space="preserve"> </w:t>
      </w:r>
      <w:r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 xml:space="preserve"> </w:t>
      </w:r>
      <w:r w:rsidRPr="00075FAA"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 xml:space="preserve"> - Návštěvní řád</w:t>
      </w:r>
      <w:r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 xml:space="preserve"> pro exkurze</w:t>
      </w:r>
      <w:r w:rsidR="00316B86">
        <w:rPr>
          <w:rFonts w:ascii="Cambria" w:eastAsia="Times New Roman" w:hAnsi="Cambria" w:cs="Times New Roman"/>
          <w:i/>
          <w:iCs/>
          <w:color w:val="9A0000"/>
          <w:spacing w:val="-15"/>
          <w:kern w:val="36"/>
          <w:sz w:val="39"/>
          <w:szCs w:val="39"/>
          <w:lang w:eastAsia="cs-CZ"/>
        </w:rPr>
        <w:t xml:space="preserve"> do pivovaru</w:t>
      </w:r>
    </w:p>
    <w:p w:rsidR="00075FAA" w:rsidRPr="00075FAA" w:rsidRDefault="00075FAA" w:rsidP="00316B8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Článek I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- </w:t>
      </w:r>
      <w:r w:rsidRPr="00075FAA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>Návštěvní doba</w:t>
      </w:r>
    </w:p>
    <w:p w:rsidR="000B4954" w:rsidRDefault="000B4954" w:rsidP="00977C01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Areál společnosti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vovar Litovel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)Komenského 3622/33a, Přerov I-Město,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750 02 Přerov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IČO: 09720618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(dále jen jako „</w:t>
      </w:r>
      <w:r w:rsidRPr="000B4954"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  <w:t>Pivovar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“) </w:t>
      </w:r>
      <w:r w:rsid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je veřejnosti zpřístupněn pouze formou organizovaných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exkurzí. </w:t>
      </w:r>
    </w:p>
    <w:p w:rsidR="00075FAA" w:rsidRPr="00075FAA" w:rsidRDefault="00075FAA" w:rsidP="00316B86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Tyto exkurze je nutno objednávat předem</w:t>
      </w:r>
      <w:r w:rsidR="00BC7599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, a to nejméně týden </w:t>
      </w:r>
      <w:r w:rsidR="00657AF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před termínem exkurze.</w:t>
      </w:r>
    </w:p>
    <w:p w:rsidR="00075FAA" w:rsidRDefault="005700A6" w:rsidP="00C90E1C">
      <w:pPr>
        <w:numPr>
          <w:ilvl w:val="0"/>
          <w:numId w:val="1"/>
        </w:numPr>
        <w:shd w:val="clear" w:color="auto" w:fill="FFFFFF"/>
        <w:spacing w:after="0" w:line="270" w:lineRule="atLeast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Exkurze se objednávají přes rezervační formulář na internetových stránkách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pivovaru Litovel</w:t>
      </w:r>
      <w:bookmarkStart w:id="0" w:name="_GoBack"/>
      <w:bookmarkEnd w:id="0"/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. </w:t>
      </w:r>
      <w:r w:rsidR="00BC7599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Délka exkurze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s ochutnávkou piva je cca 2 hodiny</w:t>
      </w:r>
      <w:r w:rsid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.</w:t>
      </w:r>
    </w:p>
    <w:p w:rsidR="00075FAA" w:rsidRPr="00075FAA" w:rsidRDefault="00075FAA" w:rsidP="00316B86">
      <w:pPr>
        <w:shd w:val="clear" w:color="auto" w:fill="FFFFFF"/>
        <w:spacing w:after="0" w:line="270" w:lineRule="atLeast"/>
        <w:ind w:left="720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</w:p>
    <w:p w:rsidR="00075FAA" w:rsidRPr="00075FAA" w:rsidRDefault="00075FAA" w:rsidP="00316B8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Článek II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- </w:t>
      </w:r>
      <w:r w:rsidRPr="00075FAA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>Organizace návštěvního provozu</w:t>
      </w:r>
    </w:p>
    <w:p w:rsidR="000B4954" w:rsidRDefault="008E6D22" w:rsidP="00977C01">
      <w:pPr>
        <w:keepNext/>
        <w:keepLines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="00A301E7"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odmínkou 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vstup</w:t>
      </w:r>
      <w:r w:rsidR="00A301E7"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u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do </w:t>
      </w:r>
      <w:r w:rsid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Pivovaru</w:t>
      </w:r>
      <w:r w:rsidR="000B4954"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je</w:t>
      </w:r>
      <w:r w:rsidR="00A301E7"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podepsa</w:t>
      </w:r>
      <w:r w:rsidR="00A301E7"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né </w:t>
      </w:r>
      <w:r w:rsidRP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„</w:t>
      </w:r>
      <w:r w:rsidRPr="00FC09DA"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  <w:t xml:space="preserve">Prokazatelné prohlášení účastníka exkurze v areálu Pivovaru </w:t>
      </w:r>
      <w:r w:rsidR="00977C01" w:rsidRPr="00977C01"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  <w:t>Litovel</w:t>
      </w:r>
      <w:r w:rsidR="005700A6"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  <w:t>,</w:t>
      </w:r>
      <w:r w:rsidR="00FF3255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jehož nedílnou součástí je tento Návštěvní řád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. </w:t>
      </w:r>
      <w:r w:rsidR="00FF325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>Předmětné prohlášení bude podepsáno</w:t>
      </w:r>
      <w:r w:rsidR="00BC7599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 vedoucím skupiny - objednavatelem</w:t>
      </w:r>
      <w:r w:rsidR="0038004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, </w:t>
      </w:r>
      <w:r w:rsidR="00BC7599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>který</w:t>
      </w:r>
      <w:r w:rsidR="0038004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 se svým popisem zaručuje, že tento Návštěvní řád bude všemi členy skupiny (návštěvníky) plněn (</w:t>
      </w:r>
      <w:r w:rsid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včetně povinností k úhradám dle </w:t>
      </w:r>
      <w:r w:rsidR="0038004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>článk</w:t>
      </w:r>
      <w:r w:rsid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>u</w:t>
      </w:r>
      <w:r w:rsidR="0038004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 IV., odst</w:t>
      </w:r>
      <w:r w:rsidR="00C90E1C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>.</w:t>
      </w:r>
      <w:r w:rsid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 </w:t>
      </w:r>
      <w:r w:rsidR="0038004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>6</w:t>
      </w:r>
      <w:r w:rsidR="000C7FB7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 až 8</w:t>
      </w:r>
      <w:r w:rsidR="00380045" w:rsidRPr="00380045">
        <w:rPr>
          <w:rFonts w:ascii="Cambria" w:eastAsia="Times New Roman" w:hAnsi="Cambria" w:cs="Times New Roman"/>
          <w:color w:val="333333"/>
          <w:sz w:val="21"/>
          <w:szCs w:val="21"/>
          <w:highlight w:val="yellow"/>
          <w:lang w:eastAsia="cs-CZ"/>
        </w:rPr>
        <w:t xml:space="preserve"> tohoto Návštěvního řádu).</w:t>
      </w:r>
    </w:p>
    <w:p w:rsidR="00075FAA" w:rsidRPr="000B4954" w:rsidRDefault="00075FAA" w:rsidP="00977C01">
      <w:pPr>
        <w:keepNext/>
        <w:keepLines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Vstupem do </w:t>
      </w:r>
      <w:r w:rsid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ivovaru se návštěvník zavazuje respektovat </w:t>
      </w:r>
      <w:r w:rsidR="00A301E7"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a dodržovat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tento </w:t>
      </w:r>
      <w:r w:rsidR="003800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ávštěvní řád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, stejně jako 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pokyny </w:t>
      </w:r>
      <w:r w:rsidR="00977C0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průvodce a dalších </w:t>
      </w:r>
      <w:r w:rsidRP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zaměstnanců </w:t>
      </w:r>
      <w:r w:rsid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společnosti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(pivovar Litovel)Komenského 3622/33a, Přerov I-Město, 750 02 Přerov IČO: 09720618</w:t>
      </w:r>
    </w:p>
    <w:p w:rsidR="00075FAA" w:rsidRDefault="00075FAA" w:rsidP="00316B86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 průběhu exkurze je návštěvník povinen držet se skupiny a nedotýkat se žádných výrobních zařízení či nástrojů.</w:t>
      </w:r>
    </w:p>
    <w:p w:rsidR="00075FAA" w:rsidRDefault="00075FAA" w:rsidP="00316B86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Do výrobních prostorů je zákaz vstupu infekčním osobám. Pokud návštěvník o takovéto zdravotní indispozici </w:t>
      </w:r>
      <w:r w:rsidR="00657AF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ví, je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povinen toto nahlásit před započetím samotné exkurze na bráně pivovaru.</w:t>
      </w:r>
    </w:p>
    <w:p w:rsidR="00075FAA" w:rsidRPr="00075FAA" w:rsidRDefault="00075FAA" w:rsidP="00316B8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</w:pP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Článek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</w:t>
      </w: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III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- </w:t>
      </w:r>
      <w:r w:rsidRPr="00075FAA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>Vstupné</w:t>
      </w:r>
    </w:p>
    <w:p w:rsidR="00075FAA" w:rsidRPr="00075FAA" w:rsidRDefault="005700A6" w:rsidP="00977C01">
      <w:pPr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Ceny </w:t>
      </w:r>
      <w:r w:rsidR="00BC7599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exkurze a ochutnávek</w:t>
      </w:r>
      <w:r w:rsidR="00075FAA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jsou stanoveny vedením </w:t>
      </w:r>
      <w:r w:rsidR="000B4954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společnosti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ivovar Litovel)Komenského 3622/33a, Přerov I-Město, 750 02 Přerov IČO: 09720618</w:t>
      </w:r>
    </w:p>
    <w:p w:rsidR="00075FAA" w:rsidRPr="00075FAA" w:rsidRDefault="00320B45" w:rsidP="00316B86">
      <w:pPr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Platbu hradí objednavatel exkurze v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 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hotovosti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, kartou či fakturou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za celou s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kupinu.</w:t>
      </w:r>
    </w:p>
    <w:p w:rsidR="00075FAA" w:rsidRPr="00075FAA" w:rsidRDefault="00DC3993" w:rsidP="00316B86">
      <w:pPr>
        <w:numPr>
          <w:ilvl w:val="0"/>
          <w:numId w:val="3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Zaplacen</w:t>
      </w:r>
      <w:r w:rsidR="00A301E7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ý doklad</w:t>
      </w:r>
      <w:r w:rsidR="00075FAA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657AF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již </w:t>
      </w:r>
      <w:r w:rsidR="00075FAA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nelze vrátit.</w:t>
      </w:r>
    </w:p>
    <w:p w:rsidR="00075FAA" w:rsidRPr="00075FAA" w:rsidRDefault="00075FAA" w:rsidP="00316B8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Článek IV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- </w:t>
      </w:r>
      <w:r w:rsidRPr="00075FAA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 xml:space="preserve">Prohlídka </w:t>
      </w:r>
      <w:r w:rsidR="00DC3993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>pivovaru; počet osob</w:t>
      </w:r>
    </w:p>
    <w:p w:rsidR="00075FAA" w:rsidRPr="00075FAA" w:rsidRDefault="00657AFB" w:rsidP="00C12353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Exkurze do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ivovaru je možná</w:t>
      </w:r>
      <w:r w:rsidR="00075FAA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C12353" w:rsidRPr="00C12353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pouze </w:t>
      </w:r>
      <w:r w:rsidR="00075FAA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s doprovodem průvodce a návštěvníci jsou povinni řídit </w:t>
      </w:r>
      <w:r w:rsidR="00E57E5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se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tímto </w:t>
      </w:r>
      <w:r w:rsidR="003800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</w:t>
      </w:r>
      <w:r w:rsidR="00075FAA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ávštěvním řádem a pokyny průvodce.</w:t>
      </w:r>
    </w:p>
    <w:p w:rsidR="00075FAA" w:rsidRPr="00FF3255" w:rsidRDefault="00075FAA" w:rsidP="00977C01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 jedné skupině návštěvníků prohlídkového okruhu může být minimálně 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10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návštěvníků </w:t>
      </w:r>
      <w:r w:rsidR="00657AF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br/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a maximálně 25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návštěvníků. Velikost skupin vychází z provozních možností objektu </w:t>
      </w:r>
      <w:r w:rsidR="00A00A1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br/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a z bezpečnostních hledisek. Výjimky povoluje pouze vedení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(pivovar Litovel)Komenského 3622/33a, Přerov I-Město, 750 02 Přerov IČO: 09720618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. 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Pokud má skupina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5700A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25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DC3993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a více 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osob, je třeba objednat </w:t>
      </w:r>
      <w:r w:rsidR="00DC3993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více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průvodc</w:t>
      </w:r>
      <w:r w:rsidR="00DC3993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ů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, kteř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í si skupinu rozdělí a provádí P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ivovarem v daném režimu </w:t>
      </w:r>
      <w:r w:rsidR="00C90E1C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pro </w:t>
      </w:r>
      <w:r w:rsidR="00DC3993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více </w:t>
      </w:r>
      <w:r w:rsidR="00657AFB" w:rsidRP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skupin. </w:t>
      </w:r>
    </w:p>
    <w:p w:rsidR="00320B45" w:rsidRDefault="00320B45" w:rsidP="00316B86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Mladiství do 18</w:t>
      </w:r>
      <w:r w:rsidR="00075FAA"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let věku </w:t>
      </w:r>
      <w:r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ne</w:t>
      </w:r>
      <w:r w:rsidR="00075FAA"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mají vstup do objektu </w:t>
      </w:r>
      <w:r w:rsidR="00FF3255"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Pivovaru </w:t>
      </w:r>
      <w:r w:rsidR="00E57E5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povolen, vyjma středoškolských skupin, kdy je prohlídka v rámci výuky s pedagogickým dozorem</w:t>
      </w:r>
    </w:p>
    <w:p w:rsidR="00320B45" w:rsidRDefault="00316B86" w:rsidP="00316B86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Prohlídka </w:t>
      </w:r>
      <w:r w:rsidR="00FF3255"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ivovaru není možná pro imobilní spo</w:t>
      </w:r>
      <w:r w:rsidR="009D67D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luobčany či pro osoby nevidomé</w:t>
      </w:r>
    </w:p>
    <w:p w:rsidR="00075FAA" w:rsidRPr="00320B45" w:rsidRDefault="00075FAA" w:rsidP="00316B86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Odpovědnost za případné škody způsobené návštěvníky v interiérech nebo exteriérech </w:t>
      </w:r>
      <w:r w:rsidR="00FF3255"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="00EB19CC"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ivovaru</w:t>
      </w:r>
      <w:r w:rsidRP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se řídí obecně závaznými předpisy.</w:t>
      </w:r>
    </w:p>
    <w:p w:rsidR="008E6D22" w:rsidRDefault="00A301E7" w:rsidP="00977C01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lastRenderedPageBreak/>
        <w:t>Při</w:t>
      </w:r>
      <w:r w:rsidR="008E6D2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porušení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tohoto </w:t>
      </w:r>
      <w:r w:rsidR="008E6D2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Návštěvního řádu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, zejména pak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při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způsoben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é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8E6D2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škod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ě</w:t>
      </w:r>
      <w:r w:rsidR="008E6D2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C12353"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 interiérech nebo exteriérech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ivovaru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,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je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příslušný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návštěvník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C12353" w:rsidRPr="00C12353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(viník škody)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povinen uhradit společnosti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(pivovar Litovel)Komenského 3622/33a, Přerov I-Město, 750 02 Přerov IČO: 09720618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paušální pokutu </w:t>
      </w:r>
      <w:r w:rsidR="008E6D2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ve </w:t>
      </w:r>
      <w:r w:rsidR="008E6D22" w:rsidRPr="00C90E1C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výši </w:t>
      </w:r>
      <w:r w:rsidR="00320B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10</w:t>
      </w:r>
      <w:r w:rsidR="008E6D22" w:rsidRPr="00C90E1C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. 000,- Kč.</w:t>
      </w:r>
      <w:r w:rsidR="008E6D22"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  <w:t xml:space="preserve">  </w:t>
      </w:r>
    </w:p>
    <w:p w:rsidR="003F796B" w:rsidRDefault="003F796B" w:rsidP="003F796B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Pokud bude následně vyčíslená škoda vyšší, bude viníkovi </w:t>
      </w:r>
      <w:r w:rsidR="00C062F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škody doúčtován finanční rozdíl</w:t>
      </w:r>
    </w:p>
    <w:p w:rsidR="00C062FB" w:rsidRPr="003F796B" w:rsidRDefault="00C062FB" w:rsidP="003F796B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Odborný výklad prováděný našimi průvodci je poskytován v českém jazyce. U zahraničních skupin je nutno m</w:t>
      </w:r>
      <w:r w:rsidR="00385AC7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ít česky mluvícího překladatele, který je se skupinou přítomen po celou dobu návštěvy</w:t>
      </w:r>
    </w:p>
    <w:p w:rsidR="008E6D22" w:rsidRPr="008E6D22" w:rsidRDefault="008E6D22" w:rsidP="003F796B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Cambria" w:eastAsia="Times New Roman" w:hAnsi="Cambria" w:cs="Times New Roman"/>
          <w:b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 případě, že bude vznik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lou situací narušen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průběh exkurze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,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bude exkurze ukončena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. N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áklady na exkurzi budou 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skupině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vyúčtovány k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 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náh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radě.</w:t>
      </w:r>
    </w:p>
    <w:p w:rsidR="00075FAA" w:rsidRPr="00075FAA" w:rsidRDefault="00075FAA" w:rsidP="00316B86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Je zakázáno se při prohlíd</w:t>
      </w:r>
      <w:r w:rsidR="003F796B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ce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316B8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od 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průvodce vzdalovat.</w:t>
      </w:r>
    </w:p>
    <w:p w:rsidR="00075FAA" w:rsidRPr="00075FAA" w:rsidRDefault="00075FAA" w:rsidP="00316B8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Článek V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- </w:t>
      </w:r>
      <w:r w:rsidRPr="00075FAA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>Ochrana a bezpečnost návštěvníků</w:t>
      </w:r>
    </w:p>
    <w:p w:rsidR="00075FAA" w:rsidRPr="00075FAA" w:rsidRDefault="00075FAA" w:rsidP="00316B86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Osobám důvodně podezřelým z opilosti či požití drog je přístup do celého areálu přísně zakázán.</w:t>
      </w:r>
    </w:p>
    <w:p w:rsidR="00075FAA" w:rsidRPr="00075FAA" w:rsidRDefault="00075FAA" w:rsidP="00316B86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Návštěvníci nesmí vstupovat do interiérů s</w:t>
      </w:r>
      <w:r w:rsidR="00316B8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objemnými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zavazadly a živými zvířaty.</w:t>
      </w:r>
    </w:p>
    <w:p w:rsidR="00075FAA" w:rsidRPr="00075FAA" w:rsidRDefault="00075FAA" w:rsidP="00316B86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Vstup do prostor </w:t>
      </w:r>
      <w:r w:rsidR="00FF325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</w:t>
      </w:r>
      <w:r w:rsidR="00316B8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ivovaru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není povolen ani návštěvníků v silně znečištěném, nedostatečném a jinak nevhodném oděvu.</w:t>
      </w:r>
    </w:p>
    <w:p w:rsidR="00075FAA" w:rsidRPr="00075FAA" w:rsidRDefault="00075FAA" w:rsidP="00DC3993">
      <w:pPr>
        <w:numPr>
          <w:ilvl w:val="0"/>
          <w:numId w:val="5"/>
        </w:numPr>
        <w:shd w:val="clear" w:color="auto" w:fill="FFFFFF"/>
        <w:spacing w:after="0" w:line="270" w:lineRule="atLeast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Fotografování, filmování či pořizování videozáznamů v prostorách </w:t>
      </w:r>
      <w:r w:rsidR="00DC3993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pivovaru</w:t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je povoleno</w:t>
      </w:r>
      <w:r w:rsidR="00316B8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. </w:t>
      </w:r>
    </w:p>
    <w:p w:rsidR="00316B86" w:rsidRDefault="00316B86" w:rsidP="00316B86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Po vstupu do areálu je přísně zakázáno kouřit. </w:t>
      </w:r>
    </w:p>
    <w:p w:rsidR="00FC09DA" w:rsidRDefault="00FC09DA" w:rsidP="00FC09DA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Upozorňujeme návštěvníky, že v interiérech není bezbariérový přístup. </w:t>
      </w:r>
    </w:p>
    <w:p w:rsidR="00FC09DA" w:rsidRPr="00FC09DA" w:rsidRDefault="00FC09DA" w:rsidP="00FC09DA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Při </w:t>
      </w:r>
      <w:r w:rsidRP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pohybu na prohlídkové trase a v prostorách areálu Pivovaru je třeba dbát na zvýšenou opatrnost. Především se jedná o pohyb na schodištích, ve vlhkých prostorech ležáckých sklepů a v prostorech, kde je běžná manipulační technika (vozíky, auta, apod.).</w:t>
      </w:r>
    </w:p>
    <w:p w:rsidR="00FC09DA" w:rsidRPr="00075FAA" w:rsidRDefault="00C12353" w:rsidP="00C12353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Každý návštěvník </w:t>
      </w:r>
      <w:r w:rsid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je povinen při vstupu do Pivovaru mít sjednáno řádné zdravotní, případně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i </w:t>
      </w:r>
      <w:r w:rsid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úrazové pojištění.   </w:t>
      </w:r>
    </w:p>
    <w:p w:rsidR="00FC09DA" w:rsidRDefault="00C12353" w:rsidP="00977C01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C12353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Každý návštěvník vstupem do Pivovaru </w:t>
      </w:r>
      <w:r w:rsid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bere na vědomí a souhlasí, že za vznik škody, úrazu či jiné újmy návštěvníkům Pivovaru, které </w:t>
      </w:r>
      <w:r w:rsidR="00380045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bude zaviněno porušením tohoto N</w:t>
      </w:r>
      <w:r w:rsid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ávštěvního řádu, nenese společnost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(pivovar Litovel)Komenského 3622/33a, Přerov I-Město, 750 02 Přerov IČO: 09720618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FC09D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žádnou odpovědnost.  </w:t>
      </w:r>
    </w:p>
    <w:p w:rsidR="00387D38" w:rsidRPr="00075FAA" w:rsidRDefault="00387D38" w:rsidP="00977C01">
      <w:pPr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hAnsi="Cambria" w:cs="Arial"/>
          <w:b/>
          <w:bCs/>
          <w:color w:val="333333"/>
          <w:sz w:val="21"/>
          <w:szCs w:val="21"/>
        </w:rPr>
        <w:t>Do výrobního prostoru včetně prostorů návštěvnického centra a muzea je přísně zakázáno donášet vlastní potraviny a alkoholické nápoje.</w:t>
      </w:r>
    </w:p>
    <w:p w:rsidR="00FC09DA" w:rsidRDefault="00FC09DA" w:rsidP="00FC09DA">
      <w:pPr>
        <w:shd w:val="clear" w:color="auto" w:fill="FFFFFF"/>
        <w:spacing w:after="0" w:line="270" w:lineRule="atLeast"/>
        <w:ind w:left="720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</w:p>
    <w:p w:rsidR="00075FAA" w:rsidRPr="00075FAA" w:rsidRDefault="00075FAA" w:rsidP="00316B86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>Článek VI</w:t>
      </w:r>
      <w:r w:rsidR="00316B86">
        <w:rPr>
          <w:rFonts w:ascii="Cambria" w:eastAsia="Times New Roman" w:hAnsi="Cambri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t xml:space="preserve"> - </w:t>
      </w:r>
      <w:r w:rsidRPr="00075FAA">
        <w:rPr>
          <w:rFonts w:ascii="Cambria" w:eastAsia="Times New Roman" w:hAnsi="Cambria" w:cs="Times New Roman"/>
          <w:b/>
          <w:bCs/>
          <w:color w:val="FF0000"/>
          <w:sz w:val="21"/>
          <w:szCs w:val="21"/>
          <w:bdr w:val="none" w:sz="0" w:space="0" w:color="auto" w:frame="1"/>
          <w:lang w:eastAsia="cs-CZ"/>
        </w:rPr>
        <w:t>Závěrečná ustanovení</w:t>
      </w:r>
    </w:p>
    <w:p w:rsidR="00075FAA" w:rsidRDefault="00075FAA" w:rsidP="00316B86">
      <w:pPr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Přání, náměty, pochvaly, připomínky, stížnosti apod. mohou návštěvníci uplatnit písemně </w:t>
      </w:r>
      <w:r w:rsidR="00A00A12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br/>
      </w:r>
      <w:r w:rsidRPr="00075FAA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či telefonicky </w:t>
      </w:r>
      <w:r w:rsidR="00316B86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na stejných kontaktech, jako je tomu při objednávce exkurze.</w:t>
      </w:r>
    </w:p>
    <w:p w:rsidR="00977C01" w:rsidRDefault="00977C01" w:rsidP="00977C01">
      <w:pPr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Osobní údaje návštěvníků jakožto zákazníků (obchodních partnerů) Pivovaru, budou zpracovány pouze v souladu s „</w:t>
      </w:r>
      <w:r w:rsidRPr="00977C0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Informacemi o zpracování osobních údajů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“</w:t>
      </w:r>
      <w:r w:rsidRPr="00977C0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publikovanými na internetových stránkách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Pivovaru.</w:t>
      </w:r>
    </w:p>
    <w:p w:rsidR="00242B51" w:rsidRDefault="00FF3255" w:rsidP="00456A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 w:rsidRP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Výjimky z tohoto </w:t>
      </w:r>
      <w:r w:rsidR="00380045" w:rsidRP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N</w:t>
      </w:r>
      <w:r w:rsidRP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ávštěvního řádu může ve zdůvodněných případech povolit jen vedení společnosti 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(pivovar Litovel)Komenského 3622/33a, Přerov I-Město, 750 02 Přerov IČO: 09720618</w:t>
      </w:r>
      <w:r w:rsid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.</w:t>
      </w:r>
    </w:p>
    <w:p w:rsidR="00A00A12" w:rsidRPr="00242B51" w:rsidRDefault="00242B51" w:rsidP="00456AC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 w:rsidR="00380045" w:rsidRP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Tento N</w:t>
      </w:r>
      <w:r w:rsidR="00075FAA" w:rsidRP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ávštěvní řád nabývá účinnosti dnem </w:t>
      </w:r>
      <w:proofErr w:type="gramStart"/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10.12.2025</w:t>
      </w:r>
      <w:proofErr w:type="gramEnd"/>
      <w:r w:rsidR="00075FAA" w:rsidRPr="00242B51"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.</w:t>
      </w:r>
    </w:p>
    <w:p w:rsidR="00242B51" w:rsidRDefault="00242B51" w:rsidP="00977C01">
      <w:pPr>
        <w:shd w:val="clear" w:color="auto" w:fill="FFFFFF"/>
        <w:spacing w:before="100" w:beforeAutospacing="1" w:after="100" w:afterAutospacing="1" w:line="270" w:lineRule="atLeast"/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Pivovary CZ Group a.s. (pivovar Litovel)</w:t>
      </w:r>
    </w:p>
    <w:p w:rsidR="005432AA" w:rsidRDefault="00242B51" w:rsidP="00977C01">
      <w:pPr>
        <w:shd w:val="clear" w:color="auto" w:fill="FFFFFF"/>
        <w:spacing w:before="100" w:beforeAutospacing="1" w:after="100" w:afterAutospacing="1" w:line="270" w:lineRule="atLeast"/>
      </w:pP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Komenského 3622/33a, Přerov I-Město, 750 02 Přerov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 xml:space="preserve"> </w:t>
      </w:r>
      <w:r>
        <w:rPr>
          <w:rFonts w:ascii="Cambria" w:eastAsia="Times New Roman" w:hAnsi="Cambria" w:cs="Times New Roman"/>
          <w:color w:val="333333"/>
          <w:sz w:val="21"/>
          <w:szCs w:val="21"/>
          <w:lang w:eastAsia="cs-CZ"/>
        </w:rPr>
        <w:t>IČO: 09720618</w:t>
      </w:r>
    </w:p>
    <w:sectPr w:rsidR="00543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199"/>
    <w:multiLevelType w:val="multilevel"/>
    <w:tmpl w:val="7AD2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F2E5A"/>
    <w:multiLevelType w:val="multilevel"/>
    <w:tmpl w:val="B43E5B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C1511"/>
    <w:multiLevelType w:val="multilevel"/>
    <w:tmpl w:val="E11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FD3787"/>
    <w:multiLevelType w:val="multilevel"/>
    <w:tmpl w:val="04E0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05F71"/>
    <w:multiLevelType w:val="multilevel"/>
    <w:tmpl w:val="AA40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01DD6"/>
    <w:multiLevelType w:val="multilevel"/>
    <w:tmpl w:val="C55E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D33FF"/>
    <w:multiLevelType w:val="multilevel"/>
    <w:tmpl w:val="11B8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AA"/>
    <w:rsid w:val="00075FAA"/>
    <w:rsid w:val="000B4954"/>
    <w:rsid w:val="000C7FB7"/>
    <w:rsid w:val="001A1BF5"/>
    <w:rsid w:val="00242B51"/>
    <w:rsid w:val="00316B86"/>
    <w:rsid w:val="00320B45"/>
    <w:rsid w:val="00380045"/>
    <w:rsid w:val="00385AC7"/>
    <w:rsid w:val="00387D38"/>
    <w:rsid w:val="003F796B"/>
    <w:rsid w:val="005432AA"/>
    <w:rsid w:val="005700A6"/>
    <w:rsid w:val="00642FC7"/>
    <w:rsid w:val="00657AFB"/>
    <w:rsid w:val="006C623D"/>
    <w:rsid w:val="00724B87"/>
    <w:rsid w:val="00821C7C"/>
    <w:rsid w:val="008E6D22"/>
    <w:rsid w:val="009140A0"/>
    <w:rsid w:val="00932EBE"/>
    <w:rsid w:val="00977C01"/>
    <w:rsid w:val="00997F4A"/>
    <w:rsid w:val="009D67D5"/>
    <w:rsid w:val="00A00A12"/>
    <w:rsid w:val="00A25EEC"/>
    <w:rsid w:val="00A301E7"/>
    <w:rsid w:val="00A42CF5"/>
    <w:rsid w:val="00B511DE"/>
    <w:rsid w:val="00BC7599"/>
    <w:rsid w:val="00C062FB"/>
    <w:rsid w:val="00C12353"/>
    <w:rsid w:val="00C822F7"/>
    <w:rsid w:val="00C90E1C"/>
    <w:rsid w:val="00CA1E54"/>
    <w:rsid w:val="00DC3993"/>
    <w:rsid w:val="00E57E52"/>
    <w:rsid w:val="00EB19CC"/>
    <w:rsid w:val="00EF2D49"/>
    <w:rsid w:val="00F955F6"/>
    <w:rsid w:val="00FC09DA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5AF1B-A8B8-4528-9D3F-3F7E352C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5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75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5F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75FA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5FA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57AF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nhideWhenUsed/>
    <w:rsid w:val="008E6D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E6D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Muzeum</dc:creator>
  <cp:lastModifiedBy>Strnadová Blanka</cp:lastModifiedBy>
  <cp:revision>2</cp:revision>
  <cp:lastPrinted>2025-12-11T09:22:00Z</cp:lastPrinted>
  <dcterms:created xsi:type="dcterms:W3CDTF">2025-12-11T09:40:00Z</dcterms:created>
  <dcterms:modified xsi:type="dcterms:W3CDTF">2025-12-11T09:40:00Z</dcterms:modified>
</cp:coreProperties>
</file>